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053929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053929" w:rsidRPr="00A42766" w:rsidRDefault="00053929" w:rsidP="00B0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053929" w:rsidRPr="00A42766" w:rsidRDefault="00053929" w:rsidP="00B0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053929" w:rsidRPr="00A42766" w:rsidRDefault="00053929" w:rsidP="00B02AE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3929" w:rsidRPr="00A42766" w:rsidRDefault="00053929" w:rsidP="00B02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053929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053929" w:rsidRPr="00A42766" w:rsidRDefault="00053929" w:rsidP="00B02AEB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929" w:rsidRPr="00A42766" w:rsidRDefault="00053929" w:rsidP="00B02AEB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053929" w:rsidRPr="00A42766" w:rsidRDefault="00053929" w:rsidP="00B02AEB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053929" w:rsidRPr="00A42766" w:rsidRDefault="00053929" w:rsidP="00B02AEB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053929" w:rsidRPr="00A42766" w:rsidRDefault="00053929" w:rsidP="0005392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Pr="00C41F74">
        <w:rPr>
          <w:rFonts w:ascii="Times New Roman" w:hAnsi="Times New Roman" w:cs="Times New Roman"/>
          <w:sz w:val="24"/>
          <w:szCs w:val="24"/>
        </w:rPr>
        <w:t>на  поставку специального токарно-накатного станка модели РТ30101 в прессовое отделение 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053929" w:rsidRPr="00A42766" w:rsidRDefault="00053929" w:rsidP="00053929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053929" w:rsidRPr="00A42766" w:rsidRDefault="00053929" w:rsidP="00053929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053929" w:rsidRPr="00A42766" w:rsidRDefault="00053929" w:rsidP="00053929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053929" w:rsidRPr="00A42766" w:rsidRDefault="00053929" w:rsidP="000539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053929" w:rsidRPr="00A42766" w:rsidRDefault="00053929" w:rsidP="0005392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3929" w:rsidRPr="00A42766" w:rsidRDefault="00053929" w:rsidP="00053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929" w:rsidRPr="00A42766" w:rsidRDefault="00053929" w:rsidP="00053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053929" w:rsidRPr="00A42766" w:rsidRDefault="00053929" w:rsidP="00053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053929" w:rsidRPr="00A42766" w:rsidRDefault="00053929" w:rsidP="00053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053929" w:rsidRPr="00A42766" w:rsidTr="0022092E">
        <w:trPr>
          <w:jc w:val="center"/>
        </w:trPr>
        <w:tc>
          <w:tcPr>
            <w:tcW w:w="4785" w:type="dxa"/>
          </w:tcPr>
          <w:p w:rsidR="00053929" w:rsidRPr="00A42766" w:rsidRDefault="00053929" w:rsidP="00B02A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053929" w:rsidRPr="00A42766" w:rsidRDefault="00053929" w:rsidP="00B02A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053929" w:rsidRPr="00A42766" w:rsidRDefault="00053929" w:rsidP="00B02A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053929" w:rsidRPr="00A42766" w:rsidRDefault="00053929" w:rsidP="00B02A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F9735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Pr="00C41F74">
        <w:rPr>
          <w:rFonts w:ascii="Times New Roman" w:hAnsi="Times New Roman" w:cs="Times New Roman"/>
          <w:sz w:val="24"/>
          <w:szCs w:val="24"/>
        </w:rPr>
        <w:t>на  поставку специального токарно-накатного станка модели РТ30101 в прессовое отделение 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2019г.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929" w:rsidRPr="00A42766" w:rsidRDefault="00053929" w:rsidP="000539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053929" w:rsidRPr="00A42766" w:rsidRDefault="00053929" w:rsidP="000539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053929" w:rsidRPr="00A42766" w:rsidRDefault="00053929" w:rsidP="000539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053929" w:rsidRPr="00A42766" w:rsidRDefault="00053929" w:rsidP="00053929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053929" w:rsidRPr="00A42766" w:rsidRDefault="00053929" w:rsidP="00053929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053929" w:rsidRPr="00A42766" w:rsidRDefault="00053929" w:rsidP="00053929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053929" w:rsidRPr="00A42766" w:rsidRDefault="00053929" w:rsidP="00053929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053929" w:rsidRPr="00A42766" w:rsidRDefault="00053929" w:rsidP="00053929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053929" w:rsidRPr="00A42766" w:rsidRDefault="00053929" w:rsidP="0005392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053929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053929" w:rsidRPr="00A42766" w:rsidRDefault="00053929" w:rsidP="00B02AE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053929" w:rsidRPr="00A42766" w:rsidTr="0022092E">
        <w:trPr>
          <w:jc w:val="center"/>
        </w:trPr>
        <w:tc>
          <w:tcPr>
            <w:tcW w:w="6062" w:type="dxa"/>
          </w:tcPr>
          <w:p w:rsidR="00053929" w:rsidRPr="00A42766" w:rsidRDefault="00053929" w:rsidP="00B02AE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53929" w:rsidRPr="00A42766" w:rsidRDefault="00053929" w:rsidP="00B02AE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053929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053929" w:rsidRPr="00A42766" w:rsidRDefault="00053929" w:rsidP="00B02AE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053929" w:rsidRPr="00A42766" w:rsidTr="0022092E">
        <w:trPr>
          <w:jc w:val="center"/>
        </w:trPr>
        <w:tc>
          <w:tcPr>
            <w:tcW w:w="6062" w:type="dxa"/>
          </w:tcPr>
          <w:p w:rsidR="00053929" w:rsidRPr="00A42766" w:rsidRDefault="00053929" w:rsidP="00B02AE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53929" w:rsidRPr="00A42766" w:rsidRDefault="00053929" w:rsidP="00B02AEB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053929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053929" w:rsidRPr="00A42766" w:rsidRDefault="00053929" w:rsidP="00B02AE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053929" w:rsidRPr="00A42766" w:rsidTr="0022092E">
        <w:trPr>
          <w:jc w:val="center"/>
        </w:trPr>
        <w:tc>
          <w:tcPr>
            <w:tcW w:w="6062" w:type="dxa"/>
          </w:tcPr>
          <w:p w:rsidR="00053929" w:rsidRPr="00A42766" w:rsidRDefault="00053929" w:rsidP="00B02AE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53929" w:rsidRPr="00A42766" w:rsidRDefault="00053929" w:rsidP="00B02AEB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053929" w:rsidRPr="00A42766" w:rsidRDefault="00053929" w:rsidP="00053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053929" w:rsidRPr="00A42766" w:rsidRDefault="00053929" w:rsidP="00053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053929" w:rsidRPr="00A42766" w:rsidRDefault="00053929" w:rsidP="000539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053929" w:rsidRPr="00A42766" w:rsidRDefault="00053929" w:rsidP="00053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053929" w:rsidRPr="00E770BE" w:rsidRDefault="00053929" w:rsidP="0005392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053929" w:rsidRPr="00A42766" w:rsidRDefault="00053929" w:rsidP="0005392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053929" w:rsidRPr="00A42766" w:rsidRDefault="00053929" w:rsidP="0005392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053929" w:rsidRPr="00A42766" w:rsidRDefault="00053929" w:rsidP="00053929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053929" w:rsidRPr="00A42766" w:rsidRDefault="00053929" w:rsidP="00053929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3929" w:rsidRPr="00A42766" w:rsidRDefault="00053929" w:rsidP="00053929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053929" w:rsidRPr="00A42766" w:rsidRDefault="00053929" w:rsidP="000539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929" w:rsidRPr="00A42766" w:rsidSect="0022092E">
          <w:headerReference w:type="default" r:id="rId5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3929" w:rsidRPr="00A42766" w:rsidRDefault="00053929" w:rsidP="00053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053929" w:rsidRPr="00A42766" w:rsidRDefault="00053929" w:rsidP="00053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053929" w:rsidRPr="00A42766" w:rsidRDefault="00053929" w:rsidP="00053929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Pr="00C41F74">
        <w:rPr>
          <w:rFonts w:ascii="Times New Roman" w:hAnsi="Times New Roman" w:cs="Times New Roman"/>
        </w:rPr>
        <w:t>на  поставку специального токарно-накатного станка модели РТ30101 в прессовое отделение АО «ВРП «Грязи»</w:t>
      </w:r>
      <w:r w:rsidRPr="007977BE">
        <w:rPr>
          <w:rFonts w:ascii="Times New Roman" w:hAnsi="Times New Roman" w:cs="Times New Roman"/>
        </w:rPr>
        <w:t xml:space="preserve"> в 2019г.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053929" w:rsidRPr="00A42766" w:rsidRDefault="00053929" w:rsidP="00053929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053929" w:rsidRPr="00A42766" w:rsidRDefault="00053929" w:rsidP="00053929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053929" w:rsidRPr="00A42766" w:rsidRDefault="00053929" w:rsidP="00053929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053929" w:rsidRPr="00A42766" w:rsidRDefault="00053929" w:rsidP="00053929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662"/>
        <w:gridCol w:w="65"/>
      </w:tblGrid>
      <w:tr w:rsidR="00053929" w:rsidRPr="00A42766" w:rsidTr="006348D2">
        <w:trPr>
          <w:trHeight w:val="430"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29" w:rsidRPr="00A42766" w:rsidTr="006348D2">
        <w:trPr>
          <w:trHeight w:val="186"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29" w:rsidRPr="00A42766" w:rsidTr="006348D2">
        <w:trPr>
          <w:trHeight w:val="776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929" w:rsidRPr="00A42766" w:rsidRDefault="00053929" w:rsidP="00B02AE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29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929" w:rsidRPr="00A42766" w:rsidRDefault="00053929" w:rsidP="00B02AE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53929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929" w:rsidRPr="00A42766" w:rsidRDefault="00053929" w:rsidP="00B02AE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53929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929" w:rsidRPr="00A42766" w:rsidRDefault="00053929" w:rsidP="00B02AE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53929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929" w:rsidRPr="00A42766" w:rsidRDefault="00053929" w:rsidP="00B02AE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53929" w:rsidRPr="00A42766" w:rsidRDefault="00053929" w:rsidP="00053929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053929" w:rsidRPr="00A42766" w:rsidRDefault="00053929" w:rsidP="00053929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053929" w:rsidRPr="00A42766" w:rsidRDefault="00053929" w:rsidP="00053929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053929" w:rsidRPr="00A42766" w:rsidRDefault="00053929" w:rsidP="00053929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053929" w:rsidRPr="00A42766" w:rsidRDefault="00053929" w:rsidP="00053929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053929" w:rsidRPr="00A42766" w:rsidRDefault="00053929" w:rsidP="00053929">
      <w:pPr>
        <w:rPr>
          <w:rFonts w:ascii="Arial" w:hAnsi="Arial" w:cs="Arial"/>
          <w:color w:val="000000"/>
          <w:sz w:val="2"/>
        </w:rPr>
      </w:pPr>
    </w:p>
    <w:p w:rsidR="00053929" w:rsidRPr="00A42766" w:rsidRDefault="00053929" w:rsidP="00053929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053929" w:rsidRPr="00A42766" w:rsidRDefault="00053929" w:rsidP="00053929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053929" w:rsidRPr="00A42766" w:rsidRDefault="00053929" w:rsidP="0005392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53929" w:rsidRPr="00A42766" w:rsidRDefault="00053929" w:rsidP="0005392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053929" w:rsidRPr="00A42766" w:rsidRDefault="00053929" w:rsidP="00053929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3929" w:rsidRPr="00A42766" w:rsidRDefault="00053929" w:rsidP="00053929">
      <w:pPr>
        <w:spacing w:after="0"/>
        <w:ind w:left="5670"/>
        <w:rPr>
          <w:rFonts w:ascii="Arial" w:hAnsi="Arial" w:cs="Arial"/>
        </w:rPr>
      </w:pP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053929" w:rsidRPr="00A42766" w:rsidRDefault="00053929" w:rsidP="00053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053929" w:rsidRPr="00A42766" w:rsidRDefault="00053929" w:rsidP="0005392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053929" w:rsidRPr="00A42766" w:rsidRDefault="00053929" w:rsidP="00053929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053929" w:rsidRPr="00A42766" w:rsidRDefault="00053929" w:rsidP="0005392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053929" w:rsidRPr="00A42766" w:rsidRDefault="00053929" w:rsidP="0005392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053929" w:rsidRPr="00A42766" w:rsidRDefault="00053929" w:rsidP="00053929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053929" w:rsidRPr="00A42766" w:rsidRDefault="00053929" w:rsidP="00053929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53929" w:rsidRPr="00A42766" w:rsidRDefault="00053929" w:rsidP="00053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053929" w:rsidRPr="00A42766" w:rsidRDefault="00053929" w:rsidP="00053929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53929" w:rsidRPr="00A42766" w:rsidRDefault="00053929" w:rsidP="00053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053929" w:rsidRPr="00A42766" w:rsidRDefault="00053929" w:rsidP="00053929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053929" w:rsidRPr="00A42766" w:rsidRDefault="00053929" w:rsidP="00053929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53929" w:rsidRPr="00A42766" w:rsidRDefault="00053929" w:rsidP="00053929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053929" w:rsidRPr="00A42766" w:rsidRDefault="00053929" w:rsidP="00053929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053929" w:rsidRPr="00A42766" w:rsidRDefault="00053929" w:rsidP="00053929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053929" w:rsidRPr="00A42766" w:rsidRDefault="00053929" w:rsidP="00053929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053929" w:rsidRPr="00A42766" w:rsidRDefault="00053929" w:rsidP="00053929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053929" w:rsidRPr="00A42766" w:rsidRDefault="00053929" w:rsidP="0005392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053929" w:rsidRPr="00A42766" w:rsidRDefault="00053929" w:rsidP="0005392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053929" w:rsidRPr="00A42766" w:rsidRDefault="00053929" w:rsidP="0005392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053929" w:rsidRPr="00A42766" w:rsidRDefault="00053929" w:rsidP="0005392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053929" w:rsidRPr="00A42766" w:rsidRDefault="00053929" w:rsidP="00053929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053929" w:rsidRPr="00A42766" w:rsidRDefault="00053929" w:rsidP="00053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053929" w:rsidRPr="00A42766" w:rsidRDefault="00053929" w:rsidP="00053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053929" w:rsidRPr="00A42766" w:rsidRDefault="00053929" w:rsidP="0005392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rPr>
          <w:rFonts w:ascii="Arial" w:hAnsi="Arial" w:cs="Arial"/>
        </w:rPr>
        <w:sectPr w:rsidR="00053929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053929" w:rsidRPr="00A42766" w:rsidRDefault="00053929" w:rsidP="00053929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053929" w:rsidRPr="00A42766" w:rsidRDefault="00053929" w:rsidP="00053929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3929" w:rsidRPr="00A42766" w:rsidRDefault="00053929" w:rsidP="00053929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053929" w:rsidRPr="00A42766" w:rsidTr="0022092E">
        <w:trPr>
          <w:jc w:val="center"/>
        </w:trPr>
        <w:tc>
          <w:tcPr>
            <w:tcW w:w="817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053929" w:rsidRPr="00A42766" w:rsidTr="0022092E">
        <w:trPr>
          <w:jc w:val="center"/>
        </w:trPr>
        <w:tc>
          <w:tcPr>
            <w:tcW w:w="817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jc w:val="center"/>
        </w:trPr>
        <w:tc>
          <w:tcPr>
            <w:tcW w:w="817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jc w:val="center"/>
        </w:trPr>
        <w:tc>
          <w:tcPr>
            <w:tcW w:w="817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53929" w:rsidRPr="00A42766" w:rsidRDefault="00053929" w:rsidP="00B0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rPr>
          <w:rFonts w:ascii="Arial" w:hAnsi="Arial" w:cs="Arial"/>
        </w:rPr>
      </w:pPr>
    </w:p>
    <w:p w:rsidR="00053929" w:rsidRPr="00A42766" w:rsidRDefault="00053929" w:rsidP="00053929">
      <w:pPr>
        <w:jc w:val="right"/>
        <w:rPr>
          <w:rFonts w:ascii="Arial" w:hAnsi="Arial" w:cs="Arial"/>
        </w:rPr>
        <w:sectPr w:rsidR="00053929" w:rsidRPr="00A42766" w:rsidSect="0022092E">
          <w:headerReference w:type="default" r:id="rId6"/>
          <w:footerReference w:type="default" r:id="rId7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053929" w:rsidRPr="00A42766" w:rsidRDefault="00053929" w:rsidP="00053929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053929" w:rsidRPr="00A42766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3929" w:rsidRPr="00A42766" w:rsidRDefault="00053929" w:rsidP="00053929">
      <w:pPr>
        <w:jc w:val="right"/>
        <w:rPr>
          <w:rFonts w:ascii="Arial" w:hAnsi="Arial" w:cs="Arial"/>
        </w:rPr>
      </w:pP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929" w:rsidRPr="00A42766" w:rsidRDefault="00053929" w:rsidP="0005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053929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929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3929" w:rsidRPr="00A42766" w:rsidRDefault="00053929" w:rsidP="00B02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</w:p>
    <w:p w:rsidR="00053929" w:rsidRPr="00A42766" w:rsidRDefault="00053929" w:rsidP="0005392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3929" w:rsidRPr="00A42766" w:rsidRDefault="00053929" w:rsidP="00053929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3929" w:rsidRPr="00A42766" w:rsidRDefault="00053929" w:rsidP="00053929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A42766" w:rsidRDefault="00053929" w:rsidP="000539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053929" w:rsidRPr="00A42766" w:rsidRDefault="00053929" w:rsidP="00053929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53929" w:rsidRPr="00A42766" w:rsidRDefault="00053929" w:rsidP="000539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/>
    <w:p w:rsidR="00053929" w:rsidRPr="00A42766" w:rsidRDefault="00053929" w:rsidP="00053929">
      <w:pPr>
        <w:spacing w:after="0"/>
        <w:ind w:left="6804" w:right="-5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9</w:t>
      </w:r>
      <w:r w:rsidRPr="00A42766">
        <w:rPr>
          <w:rFonts w:ascii="Times New Roman" w:hAnsi="Times New Roman" w:cs="Times New Roman"/>
          <w:i/>
        </w:rPr>
        <w:t xml:space="preserve"> </w:t>
      </w:r>
    </w:p>
    <w:p w:rsidR="00053929" w:rsidRDefault="00053929" w:rsidP="00053929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3929" w:rsidRDefault="00053929" w:rsidP="00053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ПОСТАВКИ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Грязи Липецкой области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«___»___________20__г.                                    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АО «ВРП «Грязи»,  именуемое  в  дальнейшем «Покупатель», в лице генерального директора Осинцева А.В., действующего на основании Устава, с одной стороны и _______, именуемое в дальнейшем «Поставщик», в лице _______, действующего на основании ________, в дальнейшем именуемые «Стороны», заключили настоящий Договор о нижеследующем: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Поставщик обязуется поставить Товар, в полном соответствии с комплектацией и техническими характеристиками, указанными в Спецификации (Приложение № 1 к настоящему Договору), осуществить монтаж, провести пусконаладочные работы, а Покупатель обязуется принять и оплатить указанный Товар.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Поставщик гарантирует, что поставляемый по настоящему Договору Товар новый, свободный от требований, прав третьих лиц, не обременённый иным образом, полученный (произведённый) Поставщиком на законных основаниях, соответствующий установленным в РФ требованиям, требованиям настоящего Договора.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Наименование, ассортимент, требования по качеству, количество, цена и условия Поставки каждой партии товара оговариваются в Приложениях, являющихся неотъемлемой частью настоящего Договора.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и порядок расчётов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на Товар, стоимость его маркировки, упаковки и тары, в которой производится доставка Товара, его монтаж и пусконаладочные работы, а также иные расходы Поставщика, связанные с выполнением условий настоящего Договора, определяется Сторонами в Спецификации (Приложении №1).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Условия, порядок и срок оплаты поставляемого Товара указываются в Спецификации (Приложении №1). Датой оплаты Покупателем поставляемого по настоящему Договору Товара считается день перечисления денежных средств на расчётный счёт Поставщика.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Товар подлежит оплате на условиях, отраженных в Спецификации к настоящему Договору, при этом к отношениям Сторон не применяются положения ст.317.1, п.п.4, 5 ст.488 и ст.823 Гражданского кодекса.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Любое изменение цены допускается только по письменному соглашению Сторон. Стоимость согласованной к поставке, также поставленной партии, но не оплаченной изменению не подлежит.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не оплачивать Товар, если выставленные счет или счет-фактура не соответствуют требованиям, установленным действующим законодательством, до устранения допущенных недостатков.</w:t>
      </w:r>
      <w:proofErr w:type="gramEnd"/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и порядок поставки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поставки: указывается в Спецификации.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 условиях доставки Товара силами Поставщика, транспортом Поставщика либо нанятым им транспортом Поставщика, Товар поставляется на склад Покупателя, указанный в Спецификации.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Вместе с поставляемым Товаром Поставщик передает Покупателю: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по эксплуатации;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счет-фактура (оригинал) 1 экз.;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товарная накладная по форме ТОРГ-12 (оригинал) 1 экз.;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Проверка Товара на соответствие комплектности согласно технической документации осуществляется в течение 15 (пятнадцати) календарных дней с момента поступления на склад Покупателя.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обнаружении несоответствия Товара условиям Договора по количеству, комплектности Покупатель вправе отказаться от приемки Товара, и незамедлительно сообщить о выявленных несоответствиях Поставщику. Вызов представителя Поставщика в данном случае обязателен (направление факсимильного сообщения будет являться надлежащим уведомлением о вызове представителя Поставщика). Представитель Поставщика должен явиться в срок, указанный в вызове. По прибытию представителя Поставщика Стороны составляют Акт о выявленных дефектах Оборудования по форме ОС-16 (далее - Акт).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представителя Поставщика либо получения отказа Поставщика от участия в составлении Акта, Покупатель составляет Акт в одностороннем порядке.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не принятый Покупателем как не соответствующий требованиям Договора, принимается Покупателем на ответственное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proofErr w:type="gramEnd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более, чем на 10 (десять) календарных дней, по истечению вышеназванного срока каждый день хранения Товара оплачивается Поставщиком 0,1% от общей стоимости не соответствующего требованиям Договора Товара.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Право собственности на Товар, а равно риск случайной гибели или повреждения Товара переходит к Покупателю с момента вручения Товара уполномоченному представителю последнего.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месте производства пусконаладочных работ Поставщик руководствуется и выполняет все правила и инструкции по охране труда, пожарной безопасности и несет ответственность за производственный травматизм со своими работниками.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невыполнение или ненадлежащее выполнение обязательств по настоящему Договору Поставщик и Покупатель несут имущественную ответственность в соответствии с действующим законодательством Российской Федерации. 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просрочку оплаты Товара Поставщик вправе потребовать пени в размере 0, 1% (одна десятая процента) от суммы просроченного платежа за каждый день просрочки, но не более 5 % (пяти процентов) от суммы просроченного платежа.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срока отгрузки (поставки) Товара Покупатель вправе потребовать пени в размере 0,1% (одна десятая процента) от стоимости неотгруженного (</w:t>
      </w:r>
      <w:proofErr w:type="spell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непоставленного</w:t>
      </w:r>
      <w:proofErr w:type="spellEnd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Товара, за каждый день просрочки.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Поставщик гарантирует возмещение в полном объеме убытков Покупателя, возникших в результате отказа налогового органа в возмещении (вычете) заявленных Покупателем сумм НДС по следующим причинам: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неуплаты НДС в бюджет Поставщиком;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несоответствия наименования Покупателя, Поставщика, ИНН и КПП, указанных в счете-фактуре либо договоре.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также гарантирует возмещение Покупателю убытков, связанных с отказом ему в вычете (возмещении) НДС, доначислением ему налога на прибыль, соответствующих пеней и штрафов в связи с признанием налоговым органом необоснованной налоговой выгоды у Покупателя, в том числе, по причине выявления признаков возможной неблагонадежности в деятельности Поставщика.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производится в течение 15 (пятнадцати) календарных дней с момента выставления Покупателем счета и расчета убытков, к которому прикладывается выписка из решения налогового органа об отказе (полностью или частично) в возмещении (вычете) сумм налога на добавленную стоимость; об исключении из расходов по налогу на прибыль суммы расходов по настоящему договору.</w:t>
      </w:r>
      <w:proofErr w:type="gramEnd"/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Поставщик обязуется возместить убытки (пени)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счете-фактуре по вине Поставщика.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убытков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убытков производится в течение 15 (пятнадцати) календарных дней с момента выставления Покупателем счета и расчета убытков.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Гарантийные обязательства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Поставщик гарантирует, что Товар соответствует техническим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</w:t>
      </w:r>
      <w:proofErr w:type="gramEnd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Спецификации, техническим условиям завода-изготовителя, а также стандартам, предъявляемым к данному виду Товара.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Гарантийный срок на поставляемый Товар составляет 24 (двадцать четыре) месяца с момента ввода Товара в эксплуатацию и подписания Акта сдачи в эксплуатацию.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Гарантия Поставщика распространяется как на Товар целиком, так и на его составные части.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ремонт осуществляется путем замены вышедших из строя узлов и комплектующих силами Поставщика и за его счет.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гарантийного срока любая часть или части Товара, оказавшиеся неисправными, должны быть отремонтированы или заменены на новые силами и за счет средств Поставщика в течение 15 (Пятнадцати) календарных дней с момента получения письменного уведомления от Покупателя.</w:t>
      </w:r>
      <w:proofErr w:type="gramEnd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гарантийный срок на Товар продлевается на период от даты уведомления до устранения недостатков.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несет никаких расходов при получении нового агрегата (узла) взамен некачественного и т.д.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Претензии должны быть заявлены Покупателем в течение 5 (пяти) рабочих дней с момента обнаружения дефекта качества поставленного Товара.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проведения гарантийного ремонта является письменное уведомление Покупателя (можно посредством факсимильной связи) с описанием возникших неполадок.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необоснованного вызова специалистов Поставщика для гарантийного ремонта Товара фактические затраты возмещаются Покупателем.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Поставщик не несет ответственности за дефекты Товара, появившиеся в результате несоблюдения правил работы, изложенных в паспорте на каждую установку, а также модификаций или переделки, осуществленной Покупателем без письменного согласия Поставщика. Также Поставщик не несет ответственности за 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ремонт или замену, требуемые в результате неправильного обращения с Товаром, в результате пожара, наводнения или по каким-либо другим причинам, не связанным прямо или косвенно с самим Товаром.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 письменного согласия Поставщика или в случае неосуществления Поставщиком гарантийного ремонта в срок, указанный в п. 5.4 Договора, Покупатель имеет право производить ремонт Товара и замену неисправных запасных частей самостоятельно или с привлечением третьих лиц. При этом Поставщик компенсирует Покупателю подтверждённые расходы в течение 15 (пятнадцати) банковских дней с момента предоставления документов.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Обстоятельства непреодолимой силы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оно является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обстоятельства непреодолимой силы или их последствия будут длиться более трех месяцев, то Поставщик и Покупатель обсудят, какие меры следует принять для продолжения работ.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Разрешение споров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случае, когда споры и разногласия не удалось урегулировать путем переговоров, подлежат разрешению в Арбитражном суде по месту нахождения Истца в соответствии с действующим законодательством. Стороны устанавливают, что все возможные претензии, споры, разногласия, требования, предложения и согласования в связи с Договором должны быть рассмотрены Сторонами в течение 14 рабочих дней с даты их получения соответствующей Стороной Договора.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договора, особые условия, заключительные положения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его подписания и действует до конца текущего календарного года. Договор считается пролонгированным на следующий календарный год. Количество пролонгаций не ограничено.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После подписания настоящего Договора и обмена подлинными экземплярами,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изменения и дополнения к настоящему Договору считаются действительными, если они оформлены в письменном  виде и подписаны Сторонами.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Переданные по факсимильной или электронной связи, надлежащим образом, оформленные и подписанные уполномоченными лицами документы, регулирующие отношения Сторон, в том числе и настоящий Договор, признаются Сторонами действительными и имеющими юридическую силу с последующим обменом подлинными экземплярами. 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Любая договоренность между Сторонами, влекущая за собой новые обстоятельства, которые не вытекают из настоящего Договора, должна быть письменно подтверждена в форме дополнений или изменений к настоящему Договору.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Во всем остальном, что не предусмотрено настоящим Договором, применяются нормы законодательства Российской Федерации.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 настоящему Договору прилагается: Спецификация - Приложение № 1.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Покупатель вправе в любой момент в одностороннем внесудебном порядке отказаться от Договора при условии уведомления Поставщика о таком отказе, при этом Договор прекращается по истечении 30 (тридцати) календарных дней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уведомления.</w:t>
      </w:r>
    </w:p>
    <w:p w:rsidR="00053929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Адреса, банковские реквизиты и подписи Сторон</w:t>
      </w:r>
    </w:p>
    <w:p w:rsidR="00053929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9"/>
        <w:gridCol w:w="4632"/>
      </w:tblGrid>
      <w:tr w:rsidR="00053929" w:rsidRPr="0076669B" w:rsidTr="007920DA">
        <w:trPr>
          <w:jc w:val="center"/>
        </w:trPr>
        <w:tc>
          <w:tcPr>
            <w:tcW w:w="5352" w:type="dxa"/>
            <w:shd w:val="clear" w:color="auto" w:fill="auto"/>
          </w:tcPr>
          <w:p w:rsidR="00053929" w:rsidRPr="00F2732D" w:rsidRDefault="00053929" w:rsidP="00B02AEB">
            <w:pPr>
              <w:tabs>
                <w:tab w:val="left" w:pos="4678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F2732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Поставщик</w:t>
            </w:r>
            <w:r w:rsidRPr="00F273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:                                                                                         </w:t>
            </w: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 xml:space="preserve"> Генеральный директор</w:t>
            </w: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 </w:t>
            </w: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53929" w:rsidRPr="00F2732D" w:rsidRDefault="00053929" w:rsidP="00B02AEB">
            <w:pPr>
              <w:tabs>
                <w:tab w:val="left" w:pos="400"/>
              </w:tabs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Покупатель:</w:t>
            </w:r>
            <w:r w:rsidRPr="00F273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АО «ВРП «Грязи»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399050, Липецкая область,  г. Грязи,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ул. Вагонная, 2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ИНН 4802012537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КПП 480201001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F2732D">
              <w:rPr>
                <w:rFonts w:ascii="Times New Roman" w:hAnsi="Times New Roman" w:cs="Times New Roman"/>
                <w:sz w:val="23"/>
                <w:szCs w:val="23"/>
              </w:rPr>
              <w:t xml:space="preserve">/с 40702810187500000327 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ПАО «РОСБАНК»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К/с 30101810000000000256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БИК 044525256</w:t>
            </w:r>
          </w:p>
          <w:p w:rsidR="00053929" w:rsidRPr="00F2732D" w:rsidRDefault="00053929" w:rsidP="00B02AEB">
            <w:pPr>
              <w:tabs>
                <w:tab w:val="left" w:pos="400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Тел./факс: (47461) 4-21-65</w:t>
            </w: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енерального директора</w:t>
            </w: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929" w:rsidRPr="00F2732D" w:rsidRDefault="00053929" w:rsidP="00B02AEB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__________________ 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2732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Осинцев</w:t>
            </w:r>
          </w:p>
          <w:p w:rsidR="00053929" w:rsidRPr="00F2732D" w:rsidRDefault="00053929" w:rsidP="00B02AE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F2732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053929" w:rsidRPr="0076669B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договору № ______/______ </w:t>
      </w:r>
    </w:p>
    <w:p w:rsidR="00053929" w:rsidRPr="0076669B" w:rsidRDefault="00053929" w:rsidP="000539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«___»____________20__г.                                   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№ 1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Грязи Липецкой области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«___»___________20__г.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«ВРП «Грязи»,  именуемое  в  дальнейшем «Покупатель», в лице генерального директора Осинцева А.В., действующего на основании Устава, с одной стороны и _______, именуемое в дальнейшем «Поставщик», в лице _______, действующего на основании ________, а при совместном упоминании именуемые «Стороны», составили настоящую спецификацию о нижеследующем: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ПОСТАВЩИК  обязуется  поставить, а ПОКУПАТЕЛЬ  оплатить и принять Товар в номенклатуре, количестве и цене, указанными в таблице: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оборудования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Кол-во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за ед.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(20%),руб.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 учетом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(20%), руб.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сумма, подлежащая к оплате: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входят транспортные расходы до склада Покупателя, пусконаладочные работы, монтаж, обучение персонала.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 адресу: 399050,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</w:t>
      </w:r>
      <w:proofErr w:type="gramEnd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Грязи, ул. Вагонная, 2.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Товара организует Поставщик.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авансовым платежом в размере 30% от стоимости Товара в течение 5 рабочих дней после подписания настоящего Договора, 50% от стоимости Товара – в течение 5 рабочих дней после письменного уведомления о готовности Товара к отгрузке, 20% от стоимости Товара в течение 15 календарных дней после подписания акта ввода Товара в эксплуатацию.</w:t>
      </w:r>
      <w:proofErr w:type="gramEnd"/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выполнения работ по поставке 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монтажу,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пуско-наладке и обучении персонала до 45 календарных дней с момента поступления предоплаты на расчетный счет Поставщика, с правом досрочной поставки.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 всем остальном, что не предусмотрено настоящим Приложением, действуют условия Договора.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Приложение составлено в двух экземплярах, имеющих одинаковую юридическую силу, по одному для каждой из сторон.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сторон.</w:t>
      </w:r>
    </w:p>
    <w:p w:rsidR="00053929" w:rsidRPr="0076669B" w:rsidRDefault="00053929" w:rsidP="0005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Поставщика: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От имени Покупателя:</w:t>
      </w: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«ВРП «Грязи»</w:t>
      </w: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29" w:rsidRPr="0076669B" w:rsidRDefault="00053929" w:rsidP="000539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                  /</w:t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А.В. Осинцев</w:t>
      </w:r>
    </w:p>
    <w:p w:rsidR="004A0D88" w:rsidRDefault="00053929" w:rsidP="00053929">
      <w:pPr>
        <w:spacing w:after="0" w:line="240" w:lineRule="auto"/>
        <w:ind w:left="360"/>
      </w:pPr>
      <w:r w:rsidRPr="007666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  М.П.</w:t>
      </w:r>
      <w:bookmarkStart w:id="15" w:name="_GoBack"/>
      <w:bookmarkEnd w:id="15"/>
    </w:p>
    <w:sectPr w:rsidR="004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B02AEB" w:rsidRPr="00197A58" w:rsidRDefault="00053929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3A81E9" wp14:editId="0296C29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2AEB" w:rsidRDefault="0005392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5392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02AEB" w:rsidRDefault="000539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53929">
                            <w:rPr>
                              <w:noProof/>
                              <w:color w:val="8C8C8C" w:themeColor="background1" w:themeShade="8C"/>
                            </w:rPr>
                            <w:t>14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B" w:rsidRPr="00D267C7" w:rsidRDefault="00053929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B" w:rsidRPr="00197A58" w:rsidRDefault="00053929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29"/>
    <w:rsid w:val="00053929"/>
    <w:rsid w:val="001959D0"/>
    <w:rsid w:val="00A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29"/>
  </w:style>
  <w:style w:type="paragraph" w:styleId="a5">
    <w:name w:val="footer"/>
    <w:basedOn w:val="a"/>
    <w:link w:val="a6"/>
    <w:uiPriority w:val="99"/>
    <w:unhideWhenUsed/>
    <w:rsid w:val="0005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29"/>
  </w:style>
  <w:style w:type="paragraph" w:styleId="a5">
    <w:name w:val="footer"/>
    <w:basedOn w:val="a"/>
    <w:link w:val="a6"/>
    <w:uiPriority w:val="99"/>
    <w:unhideWhenUsed/>
    <w:rsid w:val="0005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Иван Николаевич</dc:creator>
  <cp:lastModifiedBy>Дроздов Иван Николаевич</cp:lastModifiedBy>
  <cp:revision>1</cp:revision>
  <dcterms:created xsi:type="dcterms:W3CDTF">2019-03-06T06:48:00Z</dcterms:created>
  <dcterms:modified xsi:type="dcterms:W3CDTF">2019-03-06T06:50:00Z</dcterms:modified>
</cp:coreProperties>
</file>